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41CB" w:rsidRPr="00394DC2" w:rsidRDefault="00DC41CB" w:rsidP="00DC41CB">
      <w:pPr>
        <w:spacing w:line="360" w:lineRule="auto"/>
        <w:jc w:val="center"/>
        <w:rPr>
          <w:rFonts w:ascii="Arial" w:hAnsi="Arial" w:cs="Arial"/>
          <w:b/>
          <w:i/>
          <w:sz w:val="20"/>
        </w:rPr>
      </w:pPr>
      <w:r>
        <w:rPr>
          <w:rFonts w:ascii="Arial" w:hAnsi="Arial" w:cs="Arial"/>
          <w:b/>
          <w:i/>
          <w:noProof/>
          <w:sz w:val="20"/>
          <w:lang w:bidi="ar-SA"/>
        </w:rPr>
        <w:drawing>
          <wp:inline distT="0" distB="0" distL="0" distR="0" wp14:anchorId="4AACE6DD" wp14:editId="66217C28">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Pr>
          <w:rFonts w:ascii="Arial" w:hAnsi="Arial" w:cs="Arial"/>
          <w:b/>
          <w:i/>
          <w:noProof/>
          <w:sz w:val="20"/>
          <w:lang w:bidi="ar-SA"/>
        </w:rPr>
        <mc:AlternateContent>
          <mc:Choice Requires="wps">
            <w:drawing>
              <wp:anchor distT="0" distB="0" distL="114300" distR="114300" simplePos="0" relativeHeight="251661312" behindDoc="1" locked="0" layoutInCell="1" allowOverlap="1" wp14:anchorId="2DA4FC80" wp14:editId="2D77788B">
                <wp:simplePos x="0" y="0"/>
                <wp:positionH relativeFrom="page">
                  <wp:posOffset>6642100</wp:posOffset>
                </wp:positionH>
                <wp:positionV relativeFrom="page">
                  <wp:posOffset>10085070</wp:posOffset>
                </wp:positionV>
                <wp:extent cx="647700" cy="39624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1CB" w:rsidRDefault="00DC41CB" w:rsidP="00DC41CB">
                            <w:pPr>
                              <w:jc w:val="center"/>
                              <w:rPr>
                                <w:rFonts w:ascii="Arial" w:hAnsi="Arial" w:cs="Arial"/>
                                <w:b/>
                                <w:bCs/>
                                <w:sz w:val="48"/>
                                <w:szCs w:val="48"/>
                              </w:rPr>
                            </w:pPr>
                            <w:r>
                              <w:rPr>
                                <w:rFonts w:ascii="Arial" w:hAnsi="Arial"/>
                                <w:b/>
                                <w:noProof/>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4FC80" id="_x0000_t202" coordsize="21600,21600" o:spt="202" path="m,l,21600r21600,l21600,xe">
                <v:stroke joinstyle="miter"/>
                <v:path gradientshapeok="t" o:connecttype="rect"/>
              </v:shapetype>
              <v:shape id="Text Box 2" o:spid="_x0000_s1026" type="#_x0000_t202" style="position:absolute;left:0;text-align:left;margin-left:523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" filled="f" stroked="f">
                <v:textbox>
                  <w:txbxContent>
                    <w:p w:rsidR="00DC41CB" w:rsidRDefault="00DC41CB" w:rsidP="00DC41CB">
                      <w:pPr>
                        <w:jc w:val="center"/>
                        <w:rPr>
                          <w:rFonts w:ascii="Arial" w:hAnsi="Arial" w:cs="Arial"/>
                          <w:b/>
                          <w:bCs/>
                          <w:sz w:val="48"/>
                          <w:szCs w:val="48"/>
                        </w:rPr>
                      </w:pPr>
                      <w:r>
                        <w:rPr>
                          <w:rFonts w:ascii="Arial" w:hAnsi="Arial"/>
                          <w:b/>
                          <w:noProof/>
                          <w:sz w:val="48"/>
                        </w:rPr>
                        <w:t>LT</w:t>
                      </w:r>
                    </w:p>
                  </w:txbxContent>
                </v:textbox>
                <w10:wrap anchorx="page" anchory="page"/>
              </v:shape>
            </w:pict>
          </mc:Fallback>
        </mc:AlternateContent>
      </w:r>
    </w:p>
    <w:p w:rsidR="00DC41CB" w:rsidRPr="00394DC2" w:rsidRDefault="00DC41CB" w:rsidP="00DC41CB">
      <w:pPr>
        <w:spacing w:line="360" w:lineRule="auto"/>
        <w:jc w:val="center"/>
      </w:pPr>
      <w:r>
        <w:rPr>
          <w:rFonts w:ascii="Arial" w:hAnsi="Arial"/>
          <w:b/>
          <w:i/>
          <w:sz w:val="20"/>
        </w:rPr>
        <w:t>Europos ekonomikos ir socialinių reikalų komitetas</w:t>
      </w:r>
    </w:p>
    <w:p w:rsidR="00DC41CB" w:rsidRPr="00394DC2" w:rsidRDefault="00CC73E7" w:rsidP="00DC41CB">
      <w:pPr>
        <w:spacing w:line="360" w:lineRule="auto"/>
        <w:jc w:val="center"/>
      </w:pPr>
      <w:r>
        <w:rPr>
          <w:noProof/>
          <w:lang w:bidi="ar-SA"/>
        </w:rPr>
        <mc:AlternateContent>
          <mc:Choice Requires="wps">
            <w:drawing>
              <wp:anchor distT="0" distB="0" distL="114300" distR="114300" simplePos="0" relativeHeight="251664384" behindDoc="1" locked="0" layoutInCell="0" allowOverlap="1" wp14:anchorId="5B582F42" wp14:editId="6119CABF">
                <wp:simplePos x="0" y="0"/>
                <wp:positionH relativeFrom="page">
                  <wp:posOffset>817245</wp:posOffset>
                </wp:positionH>
                <wp:positionV relativeFrom="page">
                  <wp:posOffset>9898380</wp:posOffset>
                </wp:positionV>
                <wp:extent cx="6172200" cy="80962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3E7" w:rsidRPr="00E24886" w:rsidRDefault="00CC73E7" w:rsidP="0098600F">
                            <w:pPr>
                              <w:pBdr>
                                <w:top w:val="single" w:sz="4" w:space="1" w:color="auto"/>
                              </w:pBdr>
                              <w:jc w:val="center"/>
                              <w:rPr>
                                <w:b/>
                                <w:bCs/>
                                <w:sz w:val="16"/>
                                <w:szCs w:val="16"/>
                              </w:rPr>
                            </w:pPr>
                            <w:proofErr w:type="spellStart"/>
                            <w:r>
                              <w:rPr>
                                <w:b/>
                                <w:sz w:val="16"/>
                              </w:rPr>
                              <w:t>Rue</w:t>
                            </w:r>
                            <w:proofErr w:type="spellEnd"/>
                            <w:r>
                              <w:rPr>
                                <w:b/>
                                <w:sz w:val="16"/>
                              </w:rPr>
                              <w:t xml:space="preserve"> </w:t>
                            </w:r>
                            <w:proofErr w:type="spellStart"/>
                            <w:r>
                              <w:rPr>
                                <w:b/>
                                <w:sz w:val="16"/>
                              </w:rPr>
                              <w:t>Belliard</w:t>
                            </w:r>
                            <w:proofErr w:type="spellEnd"/>
                            <w:r>
                              <w:rPr>
                                <w:b/>
                                <w:sz w:val="16"/>
                              </w:rPr>
                              <w:t>/</w:t>
                            </w:r>
                            <w:proofErr w:type="spellStart"/>
                            <w:r>
                              <w:rPr>
                                <w:b/>
                                <w:sz w:val="16"/>
                              </w:rPr>
                              <w:t>Belliardstraat</w:t>
                            </w:r>
                            <w:proofErr w:type="spellEnd"/>
                            <w:r>
                              <w:rPr>
                                <w:b/>
                                <w:sz w:val="16"/>
                              </w:rPr>
                              <w:t xml:space="preserve"> 99 — 1040 </w:t>
                            </w:r>
                            <w:proofErr w:type="spellStart"/>
                            <w:r>
                              <w:rPr>
                                <w:b/>
                                <w:sz w:val="16"/>
                              </w:rPr>
                              <w:t>Bruxelles</w:t>
                            </w:r>
                            <w:proofErr w:type="spellEnd"/>
                            <w:r>
                              <w:rPr>
                                <w:b/>
                                <w:sz w:val="16"/>
                              </w:rPr>
                              <w:t>/</w:t>
                            </w:r>
                            <w:proofErr w:type="spellStart"/>
                            <w:r>
                              <w:rPr>
                                <w:b/>
                                <w:sz w:val="16"/>
                              </w:rPr>
                              <w:t>Brussel</w:t>
                            </w:r>
                            <w:proofErr w:type="spellEnd"/>
                            <w:r>
                              <w:rPr>
                                <w:b/>
                                <w:sz w:val="16"/>
                              </w:rPr>
                              <w:t xml:space="preserve"> — BELGIQUE/BELGIË</w:t>
                            </w:r>
                          </w:p>
                          <w:p w:rsidR="00CC73E7" w:rsidRDefault="00CC73E7" w:rsidP="0098600F">
                            <w:pPr>
                              <w:pBdr>
                                <w:top w:val="single" w:sz="4" w:space="1" w:color="auto"/>
                              </w:pBdr>
                              <w:jc w:val="center"/>
                              <w:rPr>
                                <w:b/>
                                <w:bCs/>
                                <w:sz w:val="16"/>
                                <w:szCs w:val="16"/>
                              </w:rPr>
                            </w:pPr>
                            <w:r>
                              <w:rPr>
                                <w:b/>
                                <w:sz w:val="16"/>
                              </w:rPr>
                              <w:t>Tel. +32 25469011 – Faks. +</w:t>
                            </w:r>
                            <w:r w:rsidR="003A65BC">
                              <w:rPr>
                                <w:b/>
                                <w:sz w:val="16"/>
                              </w:rPr>
                              <w:t>32 25134893 – Internetas</w:t>
                            </w:r>
                            <w:r>
                              <w:rPr>
                                <w:b/>
                                <w:sz w:val="16"/>
                              </w:rPr>
                              <w:t xml:space="preserve">: </w:t>
                            </w:r>
                            <w:hyperlink r:id="rId13">
                              <w:r>
                                <w:rPr>
                                  <w:rStyle w:val="Hipersaitas"/>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2F42" id="Text Box 4" o:spid="_x0000_s1027" type="#_x0000_t202" style="position:absolute;left:0;text-align:left;margin-left:64.35pt;margin-top:779.4pt;width:486pt;height:63.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uZtwIAAMA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" o:allowincell="f" filled="f" stroked="f">
                <v:textbox>
                  <w:txbxContent>
                    <w:p w:rsidR="00CC73E7" w:rsidRPr="00E24886" w:rsidRDefault="00CC73E7" w:rsidP="0098600F">
                      <w:pPr>
                        <w:pBdr>
                          <w:top w:val="single" w:sz="4" w:space="1" w:color="auto"/>
                        </w:pBdr>
                        <w:jc w:val="center"/>
                        <w:rPr>
                          <w:b/>
                          <w:bCs/>
                          <w:sz w:val="16"/>
                          <w:szCs w:val="16"/>
                        </w:rPr>
                      </w:pPr>
                      <w:proofErr w:type="spellStart"/>
                      <w:r>
                        <w:rPr>
                          <w:b/>
                          <w:sz w:val="16"/>
                        </w:rPr>
                        <w:t>Rue</w:t>
                      </w:r>
                      <w:proofErr w:type="spellEnd"/>
                      <w:r>
                        <w:rPr>
                          <w:b/>
                          <w:sz w:val="16"/>
                        </w:rPr>
                        <w:t xml:space="preserve"> </w:t>
                      </w:r>
                      <w:proofErr w:type="spellStart"/>
                      <w:r>
                        <w:rPr>
                          <w:b/>
                          <w:sz w:val="16"/>
                        </w:rPr>
                        <w:t>Belliard</w:t>
                      </w:r>
                      <w:proofErr w:type="spellEnd"/>
                      <w:r>
                        <w:rPr>
                          <w:b/>
                          <w:sz w:val="16"/>
                        </w:rPr>
                        <w:t>/</w:t>
                      </w:r>
                      <w:proofErr w:type="spellStart"/>
                      <w:r>
                        <w:rPr>
                          <w:b/>
                          <w:sz w:val="16"/>
                        </w:rPr>
                        <w:t>Belliardstraat</w:t>
                      </w:r>
                      <w:proofErr w:type="spellEnd"/>
                      <w:r>
                        <w:rPr>
                          <w:b/>
                          <w:sz w:val="16"/>
                        </w:rPr>
                        <w:t xml:space="preserve"> 99 — 1040 </w:t>
                      </w:r>
                      <w:proofErr w:type="spellStart"/>
                      <w:r>
                        <w:rPr>
                          <w:b/>
                          <w:sz w:val="16"/>
                        </w:rPr>
                        <w:t>Bruxelles</w:t>
                      </w:r>
                      <w:proofErr w:type="spellEnd"/>
                      <w:r>
                        <w:rPr>
                          <w:b/>
                          <w:sz w:val="16"/>
                        </w:rPr>
                        <w:t>/</w:t>
                      </w:r>
                      <w:proofErr w:type="spellStart"/>
                      <w:r>
                        <w:rPr>
                          <w:b/>
                          <w:sz w:val="16"/>
                        </w:rPr>
                        <w:t>Brussel</w:t>
                      </w:r>
                      <w:proofErr w:type="spellEnd"/>
                      <w:r>
                        <w:rPr>
                          <w:b/>
                          <w:sz w:val="16"/>
                        </w:rPr>
                        <w:t xml:space="preserve"> — BELGIQUE/BELGIË</w:t>
                      </w:r>
                    </w:p>
                    <w:p w:rsidR="00CC73E7" w:rsidRDefault="00CC73E7" w:rsidP="0098600F">
                      <w:pPr>
                        <w:pBdr>
                          <w:top w:val="single" w:sz="4" w:space="1" w:color="auto"/>
                        </w:pBdr>
                        <w:jc w:val="center"/>
                        <w:rPr>
                          <w:b/>
                          <w:bCs/>
                          <w:sz w:val="16"/>
                          <w:szCs w:val="16"/>
                        </w:rPr>
                      </w:pPr>
                      <w:r>
                        <w:rPr>
                          <w:b/>
                          <w:sz w:val="16"/>
                        </w:rPr>
                        <w:t>Tel. +32 25469011 – Faks. +</w:t>
                      </w:r>
                      <w:r w:rsidR="003A65BC">
                        <w:rPr>
                          <w:b/>
                          <w:sz w:val="16"/>
                        </w:rPr>
                        <w:t>32 25134893 – Internetas</w:t>
                      </w:r>
                      <w:r>
                        <w:rPr>
                          <w:b/>
                          <w:sz w:val="16"/>
                        </w:rPr>
                        <w:t xml:space="preserve">: </w:t>
                      </w:r>
                      <w:hyperlink r:id="rId14">
                        <w:r>
                          <w:rPr>
                            <w:rStyle w:val="Hipersaitas"/>
                            <w:b/>
                            <w:sz w:val="16"/>
                          </w:rPr>
                          <w:t>http://www.eesc.europa.eu</w:t>
                        </w:r>
                      </w:hyperlink>
                    </w:p>
                  </w:txbxContent>
                </v:textbox>
                <w10:wrap anchorx="page" anchory="page"/>
              </v:shape>
            </w:pict>
          </mc:Fallback>
        </mc:AlternateContent>
      </w:r>
    </w:p>
    <w:p w:rsidR="00DC41CB" w:rsidRPr="00394DC2" w:rsidRDefault="00DC41CB" w:rsidP="00DC41CB">
      <w:pPr>
        <w:spacing w:line="360" w:lineRule="auto"/>
        <w:jc w:val="center"/>
      </w:pPr>
    </w:p>
    <w:p w:rsidR="00DC41CB" w:rsidRPr="00394DC2" w:rsidRDefault="00DC41CB" w:rsidP="00DC41CB">
      <w:pPr>
        <w:spacing w:line="360" w:lineRule="auto"/>
        <w:jc w:val="center"/>
      </w:pPr>
    </w:p>
    <w:p w:rsidR="00DC41CB" w:rsidRPr="00394DC2" w:rsidRDefault="00DC41CB" w:rsidP="00DC41CB">
      <w:pPr>
        <w:spacing w:line="360" w:lineRule="auto"/>
        <w:jc w:val="center"/>
      </w:pPr>
    </w:p>
    <w:p w:rsidR="00DC41CB" w:rsidRPr="00394DC2" w:rsidRDefault="00DC41CB" w:rsidP="00DC41CB">
      <w:pPr>
        <w:jc w:val="right"/>
      </w:pPr>
      <w:r>
        <w:t>2015 m. gruodžio 10 d., Briuselis</w:t>
      </w:r>
    </w:p>
    <w:p w:rsidR="00DC41CB" w:rsidRPr="00394DC2" w:rsidRDefault="00DC41CB" w:rsidP="00DC41CB">
      <w:pPr>
        <w:spacing w:line="360" w:lineRule="auto"/>
        <w:jc w:val="center"/>
      </w:pPr>
    </w:p>
    <w:p w:rsidR="00DC41CB" w:rsidRPr="00394DC2" w:rsidRDefault="00DC41CB" w:rsidP="00DC41CB">
      <w:pPr>
        <w:spacing w:line="360" w:lineRule="auto"/>
        <w:jc w:val="center"/>
      </w:pPr>
    </w:p>
    <w:p w:rsidR="00DC41CB" w:rsidRPr="00394DC2" w:rsidRDefault="00DC41CB" w:rsidP="00DC41CB">
      <w:pPr>
        <w:spacing w:line="360" w:lineRule="auto"/>
        <w:jc w:val="center"/>
      </w:pPr>
    </w:p>
    <w:tbl>
      <w:tblPr>
        <w:tblW w:w="0" w:type="auto"/>
        <w:tblLayout w:type="fixed"/>
        <w:tblLook w:val="0000" w:firstRow="0" w:lastRow="0" w:firstColumn="0" w:lastColumn="0" w:noHBand="0" w:noVBand="0"/>
      </w:tblPr>
      <w:tblGrid>
        <w:gridCol w:w="9243"/>
      </w:tblGrid>
      <w:tr w:rsidR="00DC41CB" w:rsidRPr="00394DC2" w:rsidTr="001B2A85">
        <w:tc>
          <w:tcPr>
            <w:tcW w:w="9243" w:type="dxa"/>
          </w:tcPr>
          <w:p w:rsidR="00DC41CB" w:rsidRPr="00394DC2" w:rsidRDefault="00747584">
            <w:pPr>
              <w:jc w:val="center"/>
            </w:pPr>
            <w:r>
              <w:t xml:space="preserve">Europos ekonomikos ir socialinių reikalų komiteto </w:t>
            </w:r>
            <w:r w:rsidR="00AC7855">
              <w:br/>
            </w:r>
            <w:r w:rsidRPr="00EB2FB8">
              <w:rPr>
                <w:b/>
                <w:sz w:val="28"/>
                <w:szCs w:val="28"/>
              </w:rPr>
              <w:t>REZOLIUCIJA</w:t>
            </w:r>
            <w:r>
              <w:br/>
              <w:t>dėl</w:t>
            </w:r>
            <w:r>
              <w:br/>
            </w:r>
            <w:r>
              <w:rPr>
                <w:b/>
              </w:rPr>
              <w:t>Pabėgėlių</w:t>
            </w:r>
          </w:p>
        </w:tc>
      </w:tr>
      <w:tr w:rsidR="00DC41CB" w:rsidRPr="00394DC2" w:rsidTr="001B2A85">
        <w:tc>
          <w:tcPr>
            <w:tcW w:w="9243" w:type="dxa"/>
          </w:tcPr>
          <w:p w:rsidR="00DC41CB" w:rsidRPr="00394DC2" w:rsidRDefault="00DC41CB" w:rsidP="001B2A85">
            <w:pPr>
              <w:jc w:val="center"/>
            </w:pPr>
          </w:p>
          <w:p w:rsidR="00DC41CB" w:rsidRPr="00394DC2" w:rsidRDefault="00DC41CB" w:rsidP="001B2A85">
            <w:pPr>
              <w:jc w:val="center"/>
            </w:pPr>
            <w:r>
              <w:t>________________</w:t>
            </w:r>
          </w:p>
          <w:p w:rsidR="00DC41CB" w:rsidRPr="00394DC2" w:rsidRDefault="00DC41CB" w:rsidP="001B2A85">
            <w:pPr>
              <w:jc w:val="center"/>
            </w:pPr>
            <w:r>
              <w:t xml:space="preserve"> </w:t>
            </w:r>
            <w:r>
              <w:br/>
            </w:r>
          </w:p>
        </w:tc>
      </w:tr>
    </w:tbl>
    <w:p w:rsidR="00DC41CB" w:rsidRPr="00394DC2" w:rsidRDefault="00DC41CB" w:rsidP="00DC41CB">
      <w:pPr>
        <w:spacing w:line="360" w:lineRule="auto"/>
        <w:jc w:val="center"/>
      </w:pPr>
    </w:p>
    <w:p w:rsidR="00DC41CB" w:rsidRPr="00394DC2" w:rsidRDefault="00DC41CB" w:rsidP="00DC41CB">
      <w:pPr>
        <w:jc w:val="center"/>
        <w:rPr>
          <w:b/>
        </w:rPr>
      </w:pPr>
      <w:r>
        <w:t xml:space="preserve"> </w:t>
      </w:r>
      <w:r>
        <w:br/>
      </w:r>
    </w:p>
    <w:p w:rsidR="00DC41CB" w:rsidRPr="00394DC2" w:rsidRDefault="00DC41CB" w:rsidP="00DC41CB">
      <w:pPr>
        <w:sectPr w:rsidR="00DC41CB" w:rsidRPr="00394DC2" w:rsidSect="00E37E63">
          <w:footerReference w:type="default" r:id="rId15"/>
          <w:pgSz w:w="11907" w:h="16839" w:code="9"/>
          <w:pgMar w:top="567" w:right="1440" w:bottom="2268" w:left="1440" w:header="284" w:footer="1134" w:gutter="0"/>
          <w:pgNumType w:start="1"/>
          <w:cols w:space="708"/>
          <w:docGrid w:linePitch="360"/>
        </w:sectPr>
      </w:pPr>
    </w:p>
    <w:p w:rsidR="009B16AA" w:rsidRPr="00E37E63" w:rsidRDefault="009B16AA">
      <w:pPr>
        <w:rPr>
          <w:i/>
        </w:rPr>
      </w:pPr>
      <w:bookmarkStart w:id="0" w:name="_GoBack"/>
      <w:bookmarkEnd w:id="0"/>
    </w:p>
    <w:p w:rsidR="009B16AA" w:rsidRPr="00E37E63" w:rsidRDefault="008333A3">
      <w:pPr>
        <w:pStyle w:val="Sraopastraipa"/>
        <w:numPr>
          <w:ilvl w:val="0"/>
          <w:numId w:val="2"/>
        </w:numPr>
        <w:ind w:hanging="720"/>
      </w:pPr>
      <w:r>
        <w:t>EESRK labai vertina svarbų pilietinės visuomenės vaidmenį, susijusį su pabėgėliais, bėgančiais iš karo nualintų šalių ir todėl turinčių teisę gauti apsaugą pagal Ženevos konvenciją. Be pilietinės visuomenės atsako ši tragiška daugelyje Europos šalių susidariusi humanitarinė padėtis galėjo virsti katastrofa. Europos ekonomikos ir socialinių reikalų komitetas yra tiesiogiai įsipareigojęs informuoti apie šią padėtį ir užtikrinti, kad į ją tinkamai atsižvelgtų Europos institucijos, vyriausybės ir kiti politiniai veikėjai.</w:t>
      </w:r>
    </w:p>
    <w:p w:rsidR="005B482C" w:rsidRPr="00E37E63" w:rsidRDefault="005B482C"/>
    <w:p w:rsidR="005B482C" w:rsidRPr="00E37E63" w:rsidRDefault="00C01947">
      <w:pPr>
        <w:pStyle w:val="Sraopastraipa"/>
        <w:numPr>
          <w:ilvl w:val="0"/>
          <w:numId w:val="2"/>
        </w:numPr>
        <w:ind w:hanging="720"/>
      </w:pPr>
      <w:r>
        <w:t>EESRK šiuo metu rengia vizitus į 11 valstybių narių (Vengriją, Lenkiją, Maltą, Graikiją, Vokietiją, Austriją, Slovėniją, Bulgariją, Švediją, Italiją ir Kroatiją) ir Turkiją, kurios susiduria su didžiausiu pabėgėlių srautu. Per šiuos vizitus bus dalyvaujama susitikimuose su pagalbą pabėgėliams teikiančių pilietinės visuomenės organizacijų atstovais. Atstovaudami organizuotai pilietinei visuomenei Europos institucijose, užtikrinsime, kad jų balsas būtų išgirstas Europos lygmeniu.</w:t>
      </w:r>
    </w:p>
    <w:p w:rsidR="005B482C" w:rsidRPr="00E37E63" w:rsidRDefault="005B482C"/>
    <w:p w:rsidR="00F323E0" w:rsidRPr="00E37E63" w:rsidRDefault="00C01947">
      <w:pPr>
        <w:pStyle w:val="Sraopastraipa"/>
        <w:numPr>
          <w:ilvl w:val="0"/>
          <w:numId w:val="2"/>
        </w:numPr>
        <w:ind w:hanging="720"/>
        <w:rPr>
          <w:color w:val="000000" w:themeColor="text1"/>
        </w:rPr>
      </w:pPr>
      <w:r>
        <w:t>EESRK mano, kad susiklosčius dabartinei padėčiai ES turi kurti saugius humanitarinius koridorius pabėgėliams iš karo niokojamų ir terorizmo grėsmės varginamų šalių, bendradarbiaudama su šalimis, kuriose tokių pabėgėlių daugiausia. Be to, privalome sukurti tikrą bendrą Europos prieglobsčio sistemą, pagrįstą suderintomis procedūromis visoje ES. Ji būtų paremta vienodu prieglobsčio statusu ir abipusiu sprendimų dėl prieglobsčio suteikimo pripažinimu, bendra atsakomybe ir solidarumu, bendromis pastangomis perkeliant pabėgėlius ES viduje ir perkeliant juos iš trečiosios valstybės į ES, bei persvarstytu Dublino reglamentu. Be to, reikalinga solidarumu grindžiama ir tvirta naštos pasidalijimo sistema, kurioje nuolatinė, teisinga ir įpareigojanti apsaugos ieškančių asmenų paskirstymo visoms ES šalims sistema būtų pirmasis žingsnis. Atsižvelgiant į išimtines aplinkybes ir remiantis Stabilumo ir augimo paktu, papildomos su pabėgėliais susijusios išlaidos, jas nuodugniai patikrinus, neturėtų būti įskaičiuojamos į valstybių narių valdžios sektoriaus deficitą.</w:t>
      </w:r>
    </w:p>
    <w:p w:rsidR="00964407" w:rsidRPr="00E37E63" w:rsidRDefault="00964407"/>
    <w:p w:rsidR="00AF3695" w:rsidRPr="00394DC2" w:rsidRDefault="00583952" w:rsidP="00E37E63">
      <w:pPr>
        <w:pStyle w:val="Sraopastraipa"/>
        <w:numPr>
          <w:ilvl w:val="0"/>
          <w:numId w:val="2"/>
        </w:numPr>
        <w:ind w:hanging="720"/>
        <w:rPr>
          <w:i/>
        </w:rPr>
      </w:pPr>
      <w:r>
        <w:t xml:space="preserve">EESRK yra taip pat labai susirūpinęs dėl šiuo metu daromos žalos Šengeno susitarimui ir laisvo judėjimo principui, nes tai yra vienas pagrindinių ES piliečiams naudingų Europos laimėjimų. Svarbu tinkamai apsaugoti Šengeno šalių išorės sienas. Tačiau vidaus kliūčių atkūrimas ir sienų statymas nepadės Europos piliečiams siekti vienybės ar puoselėti ES pilietiškumą. </w:t>
      </w:r>
    </w:p>
    <w:p w:rsidR="00AF3695" w:rsidRPr="00E37E63" w:rsidRDefault="00AF3695"/>
    <w:p w:rsidR="00142F1E" w:rsidRPr="00E37E63" w:rsidRDefault="009A06C9">
      <w:pPr>
        <w:pStyle w:val="Sraopastraipa"/>
        <w:numPr>
          <w:ilvl w:val="0"/>
          <w:numId w:val="2"/>
        </w:numPr>
        <w:ind w:hanging="720"/>
      </w:pPr>
      <w:r>
        <w:t>Taip pat labai svarbu parengti skubių priemonių pagrindinėms dabartinių pabėgėlių srautų priežastims spręsti. ES turi bendradarbiauti su kilmės ir tranzito šalimis sprendžiant šiuos klausimus, ir šiuo aspektu EESRK ragina Komisiją bendradarbiaujant su šiomis šalimis laikytis ne tik saugumu, bet ir žmogaus teisėmis pagrįsto požiūrio. Galiausiai EESRK pabrėžia būtinybę įtraukti pilietinę visuomenę į dialogą su trečiosiomis šalimis.</w:t>
      </w:r>
    </w:p>
    <w:p w:rsidR="004C4A22" w:rsidRPr="00E37E63" w:rsidRDefault="004C4A22">
      <w:pPr>
        <w:pStyle w:val="Sraopastraipa"/>
      </w:pPr>
    </w:p>
    <w:p w:rsidR="00AF3695" w:rsidRPr="00E37E63" w:rsidRDefault="00583952">
      <w:pPr>
        <w:pStyle w:val="Sraopastraipa"/>
        <w:numPr>
          <w:ilvl w:val="0"/>
          <w:numId w:val="2"/>
        </w:numPr>
        <w:ind w:hanging="720"/>
      </w:pPr>
      <w:r>
        <w:t xml:space="preserve">EESRK, turintis didelę patirtį sprendžiant migracijos problemas, įgytą per pastaruosius metus iš esmės vystant Europos integracijos ir (arba) migracijos forumą, mano, kad pabėgėlių integracija ir įtraukimas į mūsų visuomenes turi būti dvikryptis procesas, kuriame esminį vaidmenį atlieka socialiniai partneriai, kitos pilietinės visuomenės organizacijos, vyriausybės </w:t>
      </w:r>
      <w:r>
        <w:lastRenderedPageBreak/>
        <w:t>ir vietos valdžios institucijos. Pirmenybė turėtų būti teikiama galimybei patekti į darbo rinką ir, konkrečiau, kvalifikacijų pripažinimui bei profesiniam ir kalbos mokymui, jei to prireikia. Siekdama centralizuoti paraiškų dėl įdarbinimo, mokymo ir kvalifikacijos pripažinimo teikimą, Europos Sąjunga turėtų pradėti taikyti tam tikras priemones priėmimo šalyse ir ES.</w:t>
      </w:r>
    </w:p>
    <w:p w:rsidR="009610C6" w:rsidRPr="00E37E63" w:rsidRDefault="009610C6"/>
    <w:p w:rsidR="00142F1E" w:rsidRPr="00E37E63" w:rsidRDefault="002C274D" w:rsidP="00E37E63">
      <w:pPr>
        <w:pStyle w:val="Sraopastraipa"/>
        <w:numPr>
          <w:ilvl w:val="0"/>
          <w:numId w:val="2"/>
        </w:numPr>
        <w:ind w:hanging="720"/>
      </w:pPr>
      <w:r>
        <w:t xml:space="preserve">Siekiant būtino socialinio sutarimo visoje Europoje labai svarbu visapusiškai užtikrinti vienodą požiūrį į piliečius ir pabėgėlius Europoje ir garantuoti jų socialines teises, daugiausia dėmesio skiriant </w:t>
      </w:r>
      <w:proofErr w:type="spellStart"/>
      <w:r>
        <w:t>pažeidžiamiausiems</w:t>
      </w:r>
      <w:proofErr w:type="spellEnd"/>
      <w:r>
        <w:t xml:space="preserve"> asmenims. Siekiant padėti pabėgėliams iš naujo kurti savo </w:t>
      </w:r>
      <w:proofErr w:type="spellStart"/>
      <w:r>
        <w:t>gyvenimus</w:t>
      </w:r>
      <w:proofErr w:type="spellEnd"/>
      <w:r>
        <w:t xml:space="preserve"> ir kartu kuo labiau sumažinti galimų konfliktų su vietos gyventojais bei išvengti didesnių išlaidų ateityje, svarbu užtikrinti ankstyvas investicijas, skirtas pabėgėlių integracijai į visuomenę ir darbo rinką. Siekiant šio tikslo itin svarbus yra tinkamas vietos viešųjų paslaugų finansavimas ir pabėgėlių ir vietos gyventojų pilietinis dialogas.</w:t>
      </w:r>
    </w:p>
    <w:p w:rsidR="00EF29F6" w:rsidRPr="00E37E63" w:rsidRDefault="00EF29F6">
      <w:pPr>
        <w:overflowPunct w:val="0"/>
        <w:autoSpaceDE w:val="0"/>
        <w:autoSpaceDN w:val="0"/>
        <w:adjustRightInd w:val="0"/>
        <w:jc w:val="left"/>
        <w:textAlignment w:val="baseline"/>
      </w:pPr>
    </w:p>
    <w:p w:rsidR="00DC41CB" w:rsidRPr="00394DC2" w:rsidRDefault="00DC41CB" w:rsidP="00E37E63"/>
    <w:p w:rsidR="00DC41CB" w:rsidRPr="00394DC2" w:rsidRDefault="00DC41CB" w:rsidP="00E37E63"/>
    <w:tbl>
      <w:tblPr>
        <w:tblW w:w="0" w:type="auto"/>
        <w:tblLayout w:type="fixed"/>
        <w:tblLook w:val="0000" w:firstRow="0" w:lastRow="0" w:firstColumn="0" w:lastColumn="0" w:noHBand="0" w:noVBand="0"/>
      </w:tblPr>
      <w:tblGrid>
        <w:gridCol w:w="4621"/>
        <w:gridCol w:w="4622"/>
      </w:tblGrid>
      <w:tr w:rsidR="00DC41CB" w:rsidRPr="00394DC2" w:rsidTr="001B2A85">
        <w:tc>
          <w:tcPr>
            <w:tcW w:w="4621" w:type="dxa"/>
          </w:tcPr>
          <w:p w:rsidR="00DC41CB" w:rsidRPr="00394DC2" w:rsidRDefault="00DC41CB" w:rsidP="00E37E63">
            <w:pPr>
              <w:widowControl w:val="0"/>
              <w:jc w:val="center"/>
            </w:pPr>
            <w:r>
              <w:t>Europos ekonomikos ir socialinių reikalų komiteto</w:t>
            </w:r>
            <w:r w:rsidR="0003349A">
              <w:t xml:space="preserve"> </w:t>
            </w:r>
            <w:r>
              <w:br/>
              <w:t>pirmininkas</w:t>
            </w:r>
            <w:r w:rsidR="0003349A">
              <w:t xml:space="preserve"> </w:t>
            </w:r>
            <w:r>
              <w:br/>
              <w:t xml:space="preserve"> </w:t>
            </w:r>
            <w:r>
              <w:br/>
              <w:t xml:space="preserve"> </w:t>
            </w:r>
            <w:r>
              <w:br/>
              <w:t xml:space="preserve"> </w:t>
            </w:r>
            <w:r>
              <w:br/>
              <w:t xml:space="preserve"> </w:t>
            </w:r>
            <w:r>
              <w:br/>
              <w:t xml:space="preserve">Georges </w:t>
            </w:r>
            <w:proofErr w:type="spellStart"/>
            <w:r>
              <w:t>Dassis</w:t>
            </w:r>
            <w:proofErr w:type="spellEnd"/>
          </w:p>
        </w:tc>
        <w:tc>
          <w:tcPr>
            <w:tcW w:w="4622" w:type="dxa"/>
          </w:tcPr>
          <w:p w:rsidR="00DC41CB" w:rsidRPr="00394DC2" w:rsidRDefault="00DC41CB" w:rsidP="00E37E63">
            <w:pPr>
              <w:widowControl w:val="0"/>
              <w:jc w:val="center"/>
            </w:pPr>
          </w:p>
        </w:tc>
      </w:tr>
    </w:tbl>
    <w:p w:rsidR="00DC41CB" w:rsidRPr="00394DC2" w:rsidRDefault="00DC41CB" w:rsidP="00E37E63">
      <w:pPr>
        <w:jc w:val="center"/>
      </w:pPr>
    </w:p>
    <w:p w:rsidR="009B16AA" w:rsidRPr="00E37E63" w:rsidRDefault="00765440">
      <w:pPr>
        <w:overflowPunct w:val="0"/>
        <w:autoSpaceDE w:val="0"/>
        <w:autoSpaceDN w:val="0"/>
        <w:adjustRightInd w:val="0"/>
        <w:jc w:val="center"/>
        <w:textAlignment w:val="baseline"/>
      </w:pPr>
      <w:r>
        <w:t>________________</w:t>
      </w:r>
    </w:p>
    <w:p w:rsidR="009B16AA" w:rsidRPr="0003349A" w:rsidRDefault="009B16AA"/>
    <w:sectPr w:rsidR="009B16AA" w:rsidRPr="0003349A" w:rsidSect="00E37E63">
      <w:headerReference w:type="even" r:id="rId16"/>
      <w:headerReference w:type="default" r:id="rId17"/>
      <w:footerReference w:type="even" r:id="rId18"/>
      <w:footerReference w:type="default" r:id="rId19"/>
      <w:headerReference w:type="first" r:id="rId20"/>
      <w:footerReference w:type="first" r:id="rId21"/>
      <w:pgSz w:w="11907" w:h="16840" w:code="9"/>
      <w:pgMar w:top="1701" w:right="1440" w:bottom="1928" w:left="1440" w:header="1020" w:footer="1247"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32" w:rsidRDefault="009A2E32" w:rsidP="009610C6">
      <w:pPr>
        <w:spacing w:line="240" w:lineRule="auto"/>
      </w:pPr>
      <w:r>
        <w:separator/>
      </w:r>
    </w:p>
  </w:endnote>
  <w:endnote w:type="continuationSeparator" w:id="0">
    <w:p w:rsidR="009A2E32" w:rsidRDefault="009A2E32" w:rsidP="00961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7" w:rsidRPr="00CC73E7" w:rsidRDefault="00CC73E7" w:rsidP="00CC73E7">
    <w:pPr>
      <w:pStyle w:val="Porat"/>
    </w:pPr>
    <w:r>
      <w:t xml:space="preserve">EESC-2015-05366-00-00-RES-TRA (EN) </w:t>
    </w:r>
    <w:r>
      <w:fldChar w:fldCharType="begin"/>
    </w:r>
    <w:r>
      <w:instrText xml:space="preserve"> PAGE  \* Arabic  \* MERGEFORMAT </w:instrText>
    </w:r>
    <w:r>
      <w:fldChar w:fldCharType="separate"/>
    </w:r>
    <w:r w:rsidR="002C4F64">
      <w:rPr>
        <w:noProof/>
      </w:rPr>
      <w:t>1</w:t>
    </w:r>
    <w:r>
      <w:fldChar w:fldCharType="end"/>
    </w:r>
    <w:r>
      <w:t>/</w:t>
    </w:r>
    <w:r>
      <w:fldChar w:fldCharType="begin"/>
    </w:r>
    <w:r>
      <w:instrText xml:space="preserve"> = </w:instrText>
    </w:r>
    <w:fldSimple w:instr=" NUMPAGES ">
      <w:r w:rsidR="002C4F64">
        <w:rPr>
          <w:noProof/>
        </w:rPr>
        <w:instrText>3</w:instrText>
      </w:r>
    </w:fldSimple>
    <w:r>
      <w:instrText xml:space="preserve"> </w:instrText>
    </w:r>
    <w:r>
      <w:fldChar w:fldCharType="separate"/>
    </w:r>
    <w:r w:rsidR="002C4F6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7F" w:rsidRPr="00CC73E7" w:rsidRDefault="001B6C7F" w:rsidP="00CC73E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6E" w:rsidRPr="00CC73E7" w:rsidRDefault="00CC73E7" w:rsidP="00CC73E7">
    <w:pPr>
      <w:pStyle w:val="Porat"/>
    </w:pPr>
    <w:r>
      <w:t xml:space="preserve">EESC-2015-05366-00-00-RES-TRA (EN) </w:t>
    </w:r>
    <w:r>
      <w:fldChar w:fldCharType="begin"/>
    </w:r>
    <w:r>
      <w:instrText xml:space="preserve"> PAGE  \* Arabic  \* MERGEFORMAT </w:instrText>
    </w:r>
    <w:r>
      <w:fldChar w:fldCharType="separate"/>
    </w:r>
    <w:r w:rsidR="002C4F64">
      <w:rPr>
        <w:noProof/>
      </w:rPr>
      <w:t>1</w:t>
    </w:r>
    <w:r>
      <w:fldChar w:fldCharType="end"/>
    </w:r>
    <w:r>
      <w:t>/</w:t>
    </w:r>
    <w:r>
      <w:fldChar w:fldCharType="begin"/>
    </w:r>
    <w:r>
      <w:instrText xml:space="preserve"> = </w:instrText>
    </w:r>
    <w:fldSimple w:instr=" NUMPAGES ">
      <w:r w:rsidR="002C4F64">
        <w:rPr>
          <w:noProof/>
        </w:rPr>
        <w:instrText>3</w:instrText>
      </w:r>
    </w:fldSimple>
    <w:r>
      <w:instrText xml:space="preserve"> </w:instrText>
    </w:r>
    <w:r>
      <w:fldChar w:fldCharType="separate"/>
    </w:r>
    <w:r w:rsidR="002C4F64">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7F" w:rsidRPr="00CC73E7" w:rsidRDefault="001B6C7F" w:rsidP="00CC73E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32" w:rsidRDefault="009A2E32" w:rsidP="009610C6">
      <w:pPr>
        <w:spacing w:line="240" w:lineRule="auto"/>
      </w:pPr>
      <w:r>
        <w:separator/>
      </w:r>
    </w:p>
  </w:footnote>
  <w:footnote w:type="continuationSeparator" w:id="0">
    <w:p w:rsidR="009A2E32" w:rsidRDefault="009A2E32" w:rsidP="009610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7F" w:rsidRPr="00CC73E7" w:rsidRDefault="001B6C7F" w:rsidP="00CC73E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7F" w:rsidRPr="00CC73E7" w:rsidRDefault="001B6C7F" w:rsidP="00CC73E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7F" w:rsidRPr="00CC73E7" w:rsidRDefault="001B6C7F" w:rsidP="00CC73E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Antrat1"/>
      <w:lvlText w:val="%1."/>
      <w:legacy w:legacy="1" w:legacySpace="0" w:legacyIndent="0"/>
      <w:lvlJc w:val="left"/>
    </w:lvl>
    <w:lvl w:ilvl="1">
      <w:start w:val="1"/>
      <w:numFmt w:val="decimal"/>
      <w:pStyle w:val="Antrat2"/>
      <w:lvlText w:val="%1.%2"/>
      <w:legacy w:legacy="1" w:legacySpace="144" w:legacyIndent="0"/>
      <w:lvlJc w:val="left"/>
    </w:lvl>
    <w:lvl w:ilvl="2">
      <w:start w:val="1"/>
      <w:numFmt w:val="decimal"/>
      <w:pStyle w:val="Antrat3"/>
      <w:lvlText w:val="%1.%2.%3"/>
      <w:legacy w:legacy="1" w:legacySpace="144" w:legacyIndent="0"/>
      <w:lvlJc w:val="left"/>
    </w:lvl>
    <w:lvl w:ilvl="3">
      <w:start w:val="1"/>
      <w:numFmt w:val="decimal"/>
      <w:pStyle w:val="Antrat4"/>
      <w:lvlText w:val="%1.%2.%3.%4"/>
      <w:legacy w:legacy="1" w:legacySpace="144" w:legacyIndent="0"/>
      <w:lvlJc w:val="left"/>
    </w:lvl>
    <w:lvl w:ilvl="4">
      <w:start w:val="1"/>
      <w:numFmt w:val="decimal"/>
      <w:pStyle w:val="Antrat5"/>
      <w:lvlText w:val="%1.%2.%3.%4.%5"/>
      <w:legacy w:legacy="1" w:legacySpace="144" w:legacyIndent="0"/>
      <w:lvlJc w:val="left"/>
    </w:lvl>
    <w:lvl w:ilvl="5">
      <w:start w:val="1"/>
      <w:numFmt w:val="decimal"/>
      <w:pStyle w:val="Antrat6"/>
      <w:lvlText w:val="%1.%2.%3.%4.%5.%6"/>
      <w:legacy w:legacy="1" w:legacySpace="144" w:legacyIndent="0"/>
      <w:lvlJc w:val="left"/>
    </w:lvl>
    <w:lvl w:ilvl="6">
      <w:start w:val="1"/>
      <w:numFmt w:val="decimal"/>
      <w:pStyle w:val="Antrat7"/>
      <w:lvlText w:val="%1.%2.%3.%4.%5.%6.%7"/>
      <w:legacy w:legacy="1" w:legacySpace="144" w:legacyIndent="0"/>
      <w:lvlJc w:val="left"/>
    </w:lvl>
    <w:lvl w:ilvl="7">
      <w:start w:val="1"/>
      <w:numFmt w:val="decimal"/>
      <w:pStyle w:val="Antrat8"/>
      <w:lvlText w:val="%1.%2.%3.%4.%5.%6.%7.%8"/>
      <w:legacy w:legacy="1" w:legacySpace="144" w:legacyIndent="0"/>
      <w:lvlJc w:val="left"/>
    </w:lvl>
    <w:lvl w:ilvl="8">
      <w:start w:val="1"/>
      <w:numFmt w:val="decimal"/>
      <w:pStyle w:val="Antrat9"/>
      <w:lvlText w:val="%1.%2.%3.%4.%5.%6.%7.%8.%9"/>
      <w:legacy w:legacy="1" w:legacySpace="144" w:legacyIndent="0"/>
      <w:lvlJc w:val="left"/>
    </w:lvl>
  </w:abstractNum>
  <w:abstractNum w:abstractNumId="1" w15:restartNumberingAfterBreak="0">
    <w:nsid w:val="0BEA3FD4"/>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8535F"/>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F54DC"/>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20BF8"/>
    <w:multiLevelType w:val="multilevel"/>
    <w:tmpl w:val="D368C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1E"/>
    <w:rsid w:val="00004BB2"/>
    <w:rsid w:val="00021BD2"/>
    <w:rsid w:val="0003349A"/>
    <w:rsid w:val="00052EDE"/>
    <w:rsid w:val="00053B84"/>
    <w:rsid w:val="00080802"/>
    <w:rsid w:val="00094B01"/>
    <w:rsid w:val="000B0257"/>
    <w:rsid w:val="001166AA"/>
    <w:rsid w:val="0011781E"/>
    <w:rsid w:val="00142F1E"/>
    <w:rsid w:val="00154FF4"/>
    <w:rsid w:val="00185F63"/>
    <w:rsid w:val="001B6C7F"/>
    <w:rsid w:val="001D1991"/>
    <w:rsid w:val="001F4CB3"/>
    <w:rsid w:val="001F788B"/>
    <w:rsid w:val="00221090"/>
    <w:rsid w:val="00222682"/>
    <w:rsid w:val="00231267"/>
    <w:rsid w:val="00237EA6"/>
    <w:rsid w:val="0025167D"/>
    <w:rsid w:val="00286E4E"/>
    <w:rsid w:val="002A0233"/>
    <w:rsid w:val="002C274D"/>
    <w:rsid w:val="002C4F64"/>
    <w:rsid w:val="00324BA4"/>
    <w:rsid w:val="0037209A"/>
    <w:rsid w:val="003753FC"/>
    <w:rsid w:val="00394DC2"/>
    <w:rsid w:val="00397767"/>
    <w:rsid w:val="00397C22"/>
    <w:rsid w:val="003A65BC"/>
    <w:rsid w:val="003C6F6E"/>
    <w:rsid w:val="00422291"/>
    <w:rsid w:val="00432296"/>
    <w:rsid w:val="00444920"/>
    <w:rsid w:val="00456F52"/>
    <w:rsid w:val="0049070B"/>
    <w:rsid w:val="004A710B"/>
    <w:rsid w:val="004C4A22"/>
    <w:rsid w:val="00520A80"/>
    <w:rsid w:val="00583952"/>
    <w:rsid w:val="005B482C"/>
    <w:rsid w:val="00600435"/>
    <w:rsid w:val="00616A70"/>
    <w:rsid w:val="00625326"/>
    <w:rsid w:val="00630285"/>
    <w:rsid w:val="006B0365"/>
    <w:rsid w:val="006C7B2E"/>
    <w:rsid w:val="006E172B"/>
    <w:rsid w:val="006E612E"/>
    <w:rsid w:val="006F0CFE"/>
    <w:rsid w:val="00703C84"/>
    <w:rsid w:val="00717138"/>
    <w:rsid w:val="00743D48"/>
    <w:rsid w:val="00747584"/>
    <w:rsid w:val="00765440"/>
    <w:rsid w:val="00777F6B"/>
    <w:rsid w:val="0078069C"/>
    <w:rsid w:val="00782503"/>
    <w:rsid w:val="008333A3"/>
    <w:rsid w:val="00870CEE"/>
    <w:rsid w:val="00884040"/>
    <w:rsid w:val="00886996"/>
    <w:rsid w:val="008948FC"/>
    <w:rsid w:val="008A395B"/>
    <w:rsid w:val="008C4D90"/>
    <w:rsid w:val="00944746"/>
    <w:rsid w:val="009471B5"/>
    <w:rsid w:val="009610C6"/>
    <w:rsid w:val="00964407"/>
    <w:rsid w:val="009961A8"/>
    <w:rsid w:val="009A06C9"/>
    <w:rsid w:val="009A1531"/>
    <w:rsid w:val="009A2E32"/>
    <w:rsid w:val="009A4C21"/>
    <w:rsid w:val="009B16AA"/>
    <w:rsid w:val="009E4D1B"/>
    <w:rsid w:val="009F0DC0"/>
    <w:rsid w:val="009F67E8"/>
    <w:rsid w:val="00A6383F"/>
    <w:rsid w:val="00AA2A5A"/>
    <w:rsid w:val="00AB4BCE"/>
    <w:rsid w:val="00AC1FDE"/>
    <w:rsid w:val="00AC7855"/>
    <w:rsid w:val="00AF3695"/>
    <w:rsid w:val="00B0529E"/>
    <w:rsid w:val="00B44A32"/>
    <w:rsid w:val="00B6049E"/>
    <w:rsid w:val="00B6625D"/>
    <w:rsid w:val="00B87D84"/>
    <w:rsid w:val="00BD5A67"/>
    <w:rsid w:val="00C01947"/>
    <w:rsid w:val="00C6765A"/>
    <w:rsid w:val="00C73150"/>
    <w:rsid w:val="00CC73E7"/>
    <w:rsid w:val="00CC79FE"/>
    <w:rsid w:val="00CC7A8F"/>
    <w:rsid w:val="00CE10F8"/>
    <w:rsid w:val="00CF4065"/>
    <w:rsid w:val="00D2175A"/>
    <w:rsid w:val="00D806F7"/>
    <w:rsid w:val="00D864D6"/>
    <w:rsid w:val="00DC41CB"/>
    <w:rsid w:val="00DD6A8F"/>
    <w:rsid w:val="00E37E63"/>
    <w:rsid w:val="00E60F0C"/>
    <w:rsid w:val="00E67652"/>
    <w:rsid w:val="00E7427F"/>
    <w:rsid w:val="00E97687"/>
    <w:rsid w:val="00EA1B1A"/>
    <w:rsid w:val="00EB2FB8"/>
    <w:rsid w:val="00ED72E5"/>
    <w:rsid w:val="00EF29F6"/>
    <w:rsid w:val="00F323E0"/>
    <w:rsid w:val="00F8592E"/>
    <w:rsid w:val="00F86F87"/>
    <w:rsid w:val="00F90EF2"/>
    <w:rsid w:val="00FA1260"/>
    <w:rsid w:val="00FB0ABB"/>
    <w:rsid w:val="00FD2EF1"/>
    <w:rsid w:val="00FF66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2D731-A530-4212-AB0A-9977A2C9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lt-LT" w:eastAsia="lt-LT" w:bidi="lt-LT"/>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4FF4"/>
    <w:pPr>
      <w:spacing w:line="288" w:lineRule="auto"/>
      <w:jc w:val="both"/>
    </w:pPr>
    <w:rPr>
      <w:rFonts w:ascii="Times New Roman" w:eastAsia="Times New Roman" w:hAnsi="Times New Roman" w:cs="Times New Roman"/>
      <w:color w:val="auto"/>
    </w:rPr>
  </w:style>
  <w:style w:type="paragraph" w:styleId="Antrat1">
    <w:name w:val="heading 1"/>
    <w:basedOn w:val="prastasis"/>
    <w:next w:val="prastasis"/>
    <w:qFormat/>
    <w:rsid w:val="00154FF4"/>
    <w:pPr>
      <w:numPr>
        <w:numId w:val="3"/>
      </w:numPr>
      <w:ind w:left="720" w:hanging="720"/>
      <w:outlineLvl w:val="0"/>
    </w:pPr>
    <w:rPr>
      <w:kern w:val="28"/>
    </w:rPr>
  </w:style>
  <w:style w:type="paragraph" w:styleId="Antrat2">
    <w:name w:val="heading 2"/>
    <w:basedOn w:val="prastasis"/>
    <w:next w:val="prastasis"/>
    <w:qFormat/>
    <w:rsid w:val="00154FF4"/>
    <w:pPr>
      <w:numPr>
        <w:ilvl w:val="1"/>
        <w:numId w:val="3"/>
      </w:numPr>
      <w:ind w:left="720" w:hanging="720"/>
      <w:outlineLvl w:val="1"/>
    </w:pPr>
  </w:style>
  <w:style w:type="paragraph" w:styleId="Antrat3">
    <w:name w:val="heading 3"/>
    <w:basedOn w:val="prastasis"/>
    <w:next w:val="prastasis"/>
    <w:qFormat/>
    <w:rsid w:val="00154FF4"/>
    <w:pPr>
      <w:numPr>
        <w:ilvl w:val="2"/>
        <w:numId w:val="3"/>
      </w:numPr>
      <w:ind w:left="720" w:hanging="720"/>
      <w:outlineLvl w:val="2"/>
    </w:pPr>
  </w:style>
  <w:style w:type="paragraph" w:styleId="Antrat4">
    <w:name w:val="heading 4"/>
    <w:basedOn w:val="prastasis"/>
    <w:next w:val="prastasis"/>
    <w:qFormat/>
    <w:rsid w:val="00154FF4"/>
    <w:pPr>
      <w:numPr>
        <w:ilvl w:val="3"/>
        <w:numId w:val="3"/>
      </w:numPr>
      <w:ind w:left="720" w:hanging="720"/>
      <w:outlineLvl w:val="3"/>
    </w:pPr>
  </w:style>
  <w:style w:type="paragraph" w:styleId="Antrat5">
    <w:name w:val="heading 5"/>
    <w:basedOn w:val="prastasis"/>
    <w:next w:val="prastasis"/>
    <w:qFormat/>
    <w:rsid w:val="00154FF4"/>
    <w:pPr>
      <w:numPr>
        <w:ilvl w:val="4"/>
        <w:numId w:val="3"/>
      </w:numPr>
      <w:ind w:left="720" w:hanging="720"/>
      <w:outlineLvl w:val="4"/>
    </w:pPr>
  </w:style>
  <w:style w:type="paragraph" w:styleId="Antrat6">
    <w:name w:val="heading 6"/>
    <w:basedOn w:val="prastasis"/>
    <w:next w:val="prastasis"/>
    <w:qFormat/>
    <w:rsid w:val="00154FF4"/>
    <w:pPr>
      <w:numPr>
        <w:ilvl w:val="5"/>
        <w:numId w:val="3"/>
      </w:numPr>
      <w:ind w:left="720" w:hanging="720"/>
      <w:outlineLvl w:val="5"/>
    </w:pPr>
  </w:style>
  <w:style w:type="paragraph" w:styleId="Antrat7">
    <w:name w:val="heading 7"/>
    <w:basedOn w:val="prastasis"/>
    <w:next w:val="prastasis"/>
    <w:link w:val="Antrat7Diagrama"/>
    <w:qFormat/>
    <w:rsid w:val="00154FF4"/>
    <w:pPr>
      <w:numPr>
        <w:ilvl w:val="6"/>
        <w:numId w:val="3"/>
      </w:numPr>
      <w:ind w:left="720" w:hanging="720"/>
      <w:outlineLvl w:val="6"/>
    </w:pPr>
  </w:style>
  <w:style w:type="paragraph" w:styleId="Antrat8">
    <w:name w:val="heading 8"/>
    <w:basedOn w:val="prastasis"/>
    <w:next w:val="prastasis"/>
    <w:link w:val="Antrat8Diagrama"/>
    <w:qFormat/>
    <w:rsid w:val="00154FF4"/>
    <w:pPr>
      <w:numPr>
        <w:ilvl w:val="7"/>
        <w:numId w:val="3"/>
      </w:numPr>
      <w:ind w:left="720" w:hanging="720"/>
      <w:outlineLvl w:val="7"/>
    </w:pPr>
  </w:style>
  <w:style w:type="paragraph" w:styleId="Antrat9">
    <w:name w:val="heading 9"/>
    <w:basedOn w:val="prastasis"/>
    <w:next w:val="prastasis"/>
    <w:link w:val="Antrat9Diagrama"/>
    <w:qFormat/>
    <w:rsid w:val="00154FF4"/>
    <w:pPr>
      <w:numPr>
        <w:ilvl w:val="8"/>
        <w:numId w:val="3"/>
      </w:numPr>
      <w:ind w:left="720" w:hanging="720"/>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qFormat/>
    <w:rsid w:val="00154FF4"/>
    <w:pPr>
      <w:keepLines/>
      <w:spacing w:after="60" w:line="240" w:lineRule="auto"/>
      <w:ind w:left="720" w:hanging="720"/>
    </w:pPr>
    <w:rPr>
      <w:sz w:val="16"/>
    </w:rPr>
  </w:style>
  <w:style w:type="character" w:customStyle="1" w:styleId="PuslapioinaostekstasDiagrama">
    <w:name w:val="Puslapio išnašos tekstas Diagrama"/>
    <w:basedOn w:val="Numatytasispastraiposriftas"/>
    <w:link w:val="Puslapioinaostekstas"/>
    <w:uiPriority w:val="99"/>
    <w:rsid w:val="009610C6"/>
    <w:rPr>
      <w:rFonts w:ascii="Times New Roman" w:eastAsia="Times New Roman" w:hAnsi="Times New Roman" w:cs="Times New Roman"/>
      <w:color w:val="auto"/>
      <w:sz w:val="16"/>
      <w:lang w:val="lt-LT" w:eastAsia="lt-LT"/>
    </w:rPr>
  </w:style>
  <w:style w:type="character" w:styleId="Puslapioinaosnuoroda">
    <w:name w:val="footnote reference"/>
    <w:basedOn w:val="Numatytasispastraiposriftas"/>
    <w:uiPriority w:val="99"/>
    <w:unhideWhenUsed/>
    <w:qFormat/>
    <w:rsid w:val="00154FF4"/>
    <w:rPr>
      <w:sz w:val="24"/>
      <w:vertAlign w:val="superscript"/>
    </w:rPr>
  </w:style>
  <w:style w:type="paragraph" w:styleId="Sraopastraipa">
    <w:name w:val="List Paragraph"/>
    <w:basedOn w:val="prastasis"/>
    <w:uiPriority w:val="34"/>
    <w:qFormat/>
    <w:rsid w:val="00782503"/>
    <w:pPr>
      <w:ind w:left="720"/>
      <w:contextualSpacing/>
    </w:pPr>
  </w:style>
  <w:style w:type="character" w:styleId="Hipersaitas">
    <w:name w:val="Hyperlink"/>
    <w:basedOn w:val="Numatytasispastraiposriftas"/>
    <w:uiPriority w:val="99"/>
    <w:unhideWhenUsed/>
    <w:rsid w:val="00004BB2"/>
    <w:rPr>
      <w:color w:val="0563C1" w:themeColor="hyperlink"/>
      <w:u w:val="single"/>
    </w:rPr>
  </w:style>
  <w:style w:type="paragraph" w:styleId="Antrats">
    <w:name w:val="header"/>
    <w:basedOn w:val="prastasis"/>
    <w:link w:val="AntratsDiagrama"/>
    <w:qFormat/>
    <w:rsid w:val="00154FF4"/>
  </w:style>
  <w:style w:type="character" w:customStyle="1" w:styleId="AntratsDiagrama">
    <w:name w:val="Antraštės Diagrama"/>
    <w:basedOn w:val="Numatytasispastraiposriftas"/>
    <w:link w:val="Antrats"/>
    <w:rsid w:val="003C6F6E"/>
    <w:rPr>
      <w:rFonts w:ascii="Times New Roman" w:eastAsia="Times New Roman" w:hAnsi="Times New Roman" w:cs="Times New Roman"/>
      <w:color w:val="auto"/>
      <w:lang w:val="lt-LT" w:eastAsia="lt-LT"/>
    </w:rPr>
  </w:style>
  <w:style w:type="paragraph" w:styleId="Porat">
    <w:name w:val="footer"/>
    <w:basedOn w:val="prastasis"/>
    <w:link w:val="PoratDiagrama"/>
    <w:qFormat/>
    <w:rsid w:val="00154FF4"/>
  </w:style>
  <w:style w:type="character" w:customStyle="1" w:styleId="PoratDiagrama">
    <w:name w:val="Poraštė Diagrama"/>
    <w:basedOn w:val="Numatytasispastraiposriftas"/>
    <w:link w:val="Porat"/>
    <w:rsid w:val="003C6F6E"/>
    <w:rPr>
      <w:rFonts w:ascii="Times New Roman" w:eastAsia="Times New Roman" w:hAnsi="Times New Roman" w:cs="Times New Roman"/>
      <w:color w:val="auto"/>
      <w:lang w:val="lt-LT" w:eastAsia="lt-LT"/>
    </w:rPr>
  </w:style>
  <w:style w:type="character" w:customStyle="1" w:styleId="Antrat7Diagrama">
    <w:name w:val="Antraštė 7 Diagrama"/>
    <w:basedOn w:val="Numatytasispastraiposriftas"/>
    <w:link w:val="Antrat7"/>
    <w:rsid w:val="00154FF4"/>
    <w:rPr>
      <w:rFonts w:ascii="Times New Roman" w:eastAsia="Times New Roman" w:hAnsi="Times New Roman" w:cs="Times New Roman"/>
      <w:color w:val="auto"/>
      <w:lang w:val="lt-LT" w:eastAsia="lt-LT"/>
    </w:rPr>
  </w:style>
  <w:style w:type="character" w:customStyle="1" w:styleId="Antrat8Diagrama">
    <w:name w:val="Antraštė 8 Diagrama"/>
    <w:basedOn w:val="Numatytasispastraiposriftas"/>
    <w:link w:val="Antrat8"/>
    <w:rsid w:val="00154FF4"/>
    <w:rPr>
      <w:rFonts w:ascii="Times New Roman" w:eastAsia="Times New Roman" w:hAnsi="Times New Roman" w:cs="Times New Roman"/>
      <w:color w:val="auto"/>
      <w:lang w:val="lt-LT" w:eastAsia="lt-LT"/>
    </w:rPr>
  </w:style>
  <w:style w:type="character" w:customStyle="1" w:styleId="Antrat9Diagrama">
    <w:name w:val="Antraštė 9 Diagrama"/>
    <w:basedOn w:val="Numatytasispastraiposriftas"/>
    <w:link w:val="Antrat9"/>
    <w:rsid w:val="00154FF4"/>
    <w:rPr>
      <w:rFonts w:ascii="Times New Roman" w:eastAsia="Times New Roman" w:hAnsi="Times New Roman" w:cs="Times New Roman"/>
      <w:color w:val="auto"/>
      <w:lang w:val="lt-LT" w:eastAsia="lt-LT"/>
    </w:rPr>
  </w:style>
  <w:style w:type="paragraph" w:customStyle="1" w:styleId="quotes">
    <w:name w:val="quotes"/>
    <w:basedOn w:val="prastasis"/>
    <w:next w:val="prastasis"/>
    <w:rsid w:val="00154FF4"/>
    <w:pPr>
      <w:ind w:left="720"/>
    </w:pPr>
    <w:rPr>
      <w:i/>
    </w:rPr>
  </w:style>
  <w:style w:type="paragraph" w:styleId="Debesliotekstas">
    <w:name w:val="Balloon Text"/>
    <w:basedOn w:val="prastasis"/>
    <w:link w:val="DebesliotekstasDiagrama"/>
    <w:uiPriority w:val="99"/>
    <w:semiHidden/>
    <w:unhideWhenUsed/>
    <w:rsid w:val="00AB4BCE"/>
    <w:pPr>
      <w:spacing w:line="240" w:lineRule="auto"/>
    </w:pPr>
    <w:rPr>
      <w:sz w:val="18"/>
      <w:szCs w:val="18"/>
    </w:rPr>
  </w:style>
  <w:style w:type="character" w:customStyle="1" w:styleId="DebesliotekstasDiagrama">
    <w:name w:val="Debesėlio tekstas Diagrama"/>
    <w:basedOn w:val="Numatytasispastraiposriftas"/>
    <w:link w:val="Debesliotekstas"/>
    <w:uiPriority w:val="99"/>
    <w:semiHidden/>
    <w:rsid w:val="00AB4BCE"/>
    <w:rPr>
      <w:rFonts w:ascii="Times New Roman" w:eastAsia="Times New Roman" w:hAnsi="Times New Roman" w:cs="Times New Roman"/>
      <w:color w:val="auto"/>
      <w:sz w:val="18"/>
      <w:szCs w:val="18"/>
      <w:lang w:val="lt-LT" w:eastAsia="lt-LT"/>
    </w:rPr>
  </w:style>
  <w:style w:type="character" w:styleId="Komentaronuoroda">
    <w:name w:val="annotation reference"/>
    <w:basedOn w:val="Numatytasispastraiposriftas"/>
    <w:uiPriority w:val="99"/>
    <w:semiHidden/>
    <w:unhideWhenUsed/>
    <w:rsid w:val="00AB4BCE"/>
    <w:rPr>
      <w:sz w:val="18"/>
      <w:szCs w:val="18"/>
    </w:rPr>
  </w:style>
  <w:style w:type="paragraph" w:styleId="Komentarotekstas">
    <w:name w:val="annotation text"/>
    <w:basedOn w:val="prastasis"/>
    <w:link w:val="KomentarotekstasDiagrama"/>
    <w:uiPriority w:val="99"/>
    <w:semiHidden/>
    <w:unhideWhenUsed/>
    <w:rsid w:val="00AB4BCE"/>
    <w:pPr>
      <w:spacing w:line="240" w:lineRule="auto"/>
    </w:pPr>
    <w:rPr>
      <w:sz w:val="24"/>
      <w:szCs w:val="24"/>
    </w:rPr>
  </w:style>
  <w:style w:type="character" w:customStyle="1" w:styleId="KomentarotekstasDiagrama">
    <w:name w:val="Komentaro tekstas Diagrama"/>
    <w:basedOn w:val="Numatytasispastraiposriftas"/>
    <w:link w:val="Komentarotekstas"/>
    <w:uiPriority w:val="99"/>
    <w:semiHidden/>
    <w:rsid w:val="00AB4BCE"/>
    <w:rPr>
      <w:rFonts w:ascii="Times New Roman" w:eastAsia="Times New Roman" w:hAnsi="Times New Roman" w:cs="Times New Roman"/>
      <w:color w:val="auto"/>
      <w:sz w:val="24"/>
      <w:szCs w:val="24"/>
      <w:lang w:val="lt-LT" w:eastAsia="lt-LT"/>
    </w:rPr>
  </w:style>
  <w:style w:type="paragraph" w:styleId="Komentarotema">
    <w:name w:val="annotation subject"/>
    <w:basedOn w:val="Komentarotekstas"/>
    <w:next w:val="Komentarotekstas"/>
    <w:link w:val="KomentarotemaDiagrama"/>
    <w:uiPriority w:val="99"/>
    <w:semiHidden/>
    <w:unhideWhenUsed/>
    <w:rsid w:val="00AB4BCE"/>
    <w:rPr>
      <w:b/>
      <w:bCs/>
      <w:sz w:val="20"/>
      <w:szCs w:val="20"/>
    </w:rPr>
  </w:style>
  <w:style w:type="character" w:customStyle="1" w:styleId="KomentarotemaDiagrama">
    <w:name w:val="Komentaro tema Diagrama"/>
    <w:basedOn w:val="KomentarotekstasDiagrama"/>
    <w:link w:val="Komentarotema"/>
    <w:uiPriority w:val="99"/>
    <w:semiHidden/>
    <w:rsid w:val="00AB4BCE"/>
    <w:rPr>
      <w:rFonts w:ascii="Times New Roman" w:eastAsia="Times New Roman" w:hAnsi="Times New Roman" w:cs="Times New Roman"/>
      <w:b/>
      <w:bCs/>
      <w:color w:val="auto"/>
      <w:sz w:val="20"/>
      <w:szCs w:val="20"/>
      <w:lang w:val="lt-LT" w:eastAsia="lt-LT"/>
    </w:rPr>
  </w:style>
  <w:style w:type="paragraph" w:styleId="prastasiniatinklio">
    <w:name w:val="Normal (Web)"/>
    <w:basedOn w:val="prastasis"/>
    <w:rsid w:val="00DC41CB"/>
    <w:pPr>
      <w:spacing w:before="100" w:beforeAutospacing="1" w:after="100" w:afterAutospacing="1" w:line="240" w:lineRule="auto"/>
      <w:jc w:val="left"/>
    </w:pPr>
    <w:rPr>
      <w:rFonts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372830">
      <w:bodyDiv w:val="1"/>
      <w:marLeft w:val="0"/>
      <w:marRight w:val="0"/>
      <w:marTop w:val="0"/>
      <w:marBottom w:val="0"/>
      <w:divBdr>
        <w:top w:val="none" w:sz="0" w:space="0" w:color="auto"/>
        <w:left w:val="none" w:sz="0" w:space="0" w:color="auto"/>
        <w:bottom w:val="none" w:sz="0" w:space="0" w:color="auto"/>
        <w:right w:val="none" w:sz="0" w:space="0" w:color="auto"/>
      </w:divBdr>
    </w:div>
    <w:div w:id="186162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SNS6YXTC77FS-8-5618</_dlc_DocId>
    <_dlc_DocIdUrl xmlns="9f264e46-9252-4f01-a3b2-4cb67eb6fc3c">
      <Url>http://dm/EESC/2015/_layouts/DocIdRedir.aspx?ID=SNS6YXTC77FS-8-5618</Url>
      <Description>SNS6YXTC77FS-8-5618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2015-12-10T12:00:00+00:00</ProductionDate>
    <FicheYear xmlns="9f264e46-9252-4f01-a3b2-4cb67eb6fc3c">2015</FicheYear>
    <DocumentNumber xmlns="57dbe824-75b7-48a3-bfa5-af99f883c842">5366</DocumentNumbe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f264e46-9252-4f01-a3b2-4cb67eb6fc3c">
      <Value>43</Value>
      <Value>41</Value>
      <Value>40</Value>
      <Value>39</Value>
      <Value>38</Value>
      <Value>37</Value>
      <Value>36</Value>
      <Value>35</Value>
      <Value>33</Value>
      <Value>120</Value>
      <Value>24</Value>
      <Value>25</Value>
      <Value>22</Value>
      <Value>248</Value>
      <Value>21</Value>
      <Value>20</Value>
      <Value>18</Value>
      <Value>17</Value>
      <Value>16</Value>
      <Value>14</Value>
      <Value>13</Value>
      <Value>11</Value>
      <Value>10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12442</FicheNumber>
    <DocumentYear xmlns="9f264e46-9252-4f01-a3b2-4cb67eb6fc3c">2015</DocumentYear>
    <DocumentPart xmlns="9f264e46-9252-4f01-a3b2-4cb67eb6fc3c">0</DocumentPart>
    <AdoptionDate xmlns="9f264e46-9252-4f01-a3b2-4cb67eb6fc3c">2015-12-10T12:00:00+00:00</AdoptionDate>
    <RequestingService xmlns="9f264e46-9252-4f01-a3b2-4cb67eb6fc3c">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195A-1CC1-46B2-8468-E4CC5FF1B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EF0B1-D02A-4DB5-97BC-F2A4EFCA65EC}">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57dbe824-75b7-48a3-bfa5-af99f883c842"/>
  </ds:schemaRefs>
</ds:datastoreItem>
</file>

<file path=customXml/itemProps3.xml><?xml version="1.0" encoding="utf-8"?>
<ds:datastoreItem xmlns:ds="http://schemas.openxmlformats.org/officeDocument/2006/customXml" ds:itemID="{C8A9FB8A-F3AF-4E3D-951D-0073AF17F45F}">
  <ds:schemaRefs>
    <ds:schemaRef ds:uri="http://schemas.microsoft.com/sharepoint/v3/contenttype/forms"/>
  </ds:schemaRefs>
</ds:datastoreItem>
</file>

<file path=customXml/itemProps4.xml><?xml version="1.0" encoding="utf-8"?>
<ds:datastoreItem xmlns:ds="http://schemas.openxmlformats.org/officeDocument/2006/customXml" ds:itemID="{A5F6DD87-0B18-4D06-997F-1763F3A62724}">
  <ds:schemaRefs>
    <ds:schemaRef ds:uri="http://schemas.microsoft.com/sharepoint/events"/>
  </ds:schemaRefs>
</ds:datastoreItem>
</file>

<file path=customXml/itemProps5.xml><?xml version="1.0" encoding="utf-8"?>
<ds:datastoreItem xmlns:ds="http://schemas.openxmlformats.org/officeDocument/2006/customXml" ds:itemID="{5334989E-6FC6-449B-836C-B69F45A2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3</Pages>
  <Words>2907</Words>
  <Characters>1658</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EESRK rezoliucija dėl pabėgėlių</vt:lpstr>
      <vt:lpstr>EESRK rezoliucija dėl pabėgėlių</vt:lpstr>
    </vt:vector>
  </TitlesOfParts>
  <Company>CESE-CdR</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EESRK rezoliucija dėl pabėgėlių</dc:title>
  <dc:subject>Rezoliucija</dc:subject>
  <dc:creator>Vartotojas</dc:creator>
  <cp:keywords>EESC-2015-05366-00-00-RES-TRA-LT</cp:keywords>
  <dc:description>Rapporteur: -_x000d_
Original language: EN_x000d_
Date of document: 10/12/2015_x000d_
Date of meeting: _x000d_
External documents: -_x000d_
Administrator responsible: Cosmai Domenico, telephone: +32 (0)2 546 9041_x000d_
_x000d_
Abstract:</dc:description>
  <cp:lastModifiedBy>Irena Petr</cp:lastModifiedBy>
  <cp:revision>3</cp:revision>
  <cp:lastPrinted>2015-12-10T11:11:00Z</cp:lastPrinted>
  <dcterms:created xsi:type="dcterms:W3CDTF">2016-01-03T19:39:00Z</dcterms:created>
  <dcterms:modified xsi:type="dcterms:W3CDTF">2016-01-03T20:04:00Z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10/12/2015, 10/12/2015, 08/12/2015, 08/12/2015, 03/12/2015</vt:lpwstr>
  </property>
  <property fmtid="{D5CDD505-2E9C-101B-9397-08002B2CF9AE}" pid="4" name="Pref_Time">
    <vt:lpwstr>11:34:10, 10:47:50, 16:54:49, 09:05:13, 17:57:15</vt:lpwstr>
  </property>
  <property fmtid="{D5CDD505-2E9C-101B-9397-08002B2CF9AE}" pid="5" name="Pref_User">
    <vt:lpwstr>enied, htoo, mkop, amett, mreg</vt:lpwstr>
  </property>
  <property fmtid="{D5CDD505-2E9C-101B-9397-08002B2CF9AE}" pid="6" name="Pref_FileName">
    <vt:lpwstr>EESC-2015-05366-00-00-RES-TRA-EN-CRR.docx, EESC-2015-05366-00-00-RES-CRR-EN.docx, EESC-2015-05366-00-00-PRES-ORI.docx, EESC-2015-05928-03-00-NB-ORI.docx, EESC-2015-06420-00-00-TCD-ORI.docx</vt:lpwstr>
  </property>
  <property fmtid="{D5CDD505-2E9C-101B-9397-08002B2CF9AE}" pid="7" name="ContentTypeId">
    <vt:lpwstr>0x010100EA97B91038054C99906057A708A1480A006BE9BADFBD73E64CAFEDF2E8B27ED9C0</vt:lpwstr>
  </property>
  <property fmtid="{D5CDD505-2E9C-101B-9397-08002B2CF9AE}" pid="8" name="_dlc_DocIdItemGuid">
    <vt:lpwstr>4ade27cb-a697-45b8-8a3f-637a87bec3e0</vt:lpwstr>
  </property>
  <property fmtid="{D5CDD505-2E9C-101B-9397-08002B2CF9AE}" pid="9" name="DocumentType_0">
    <vt:lpwstr>RES|9e3e62eb-6858-4bc7-8a50-3453e395fd01</vt:lpwstr>
  </property>
  <property fmtid="{D5CDD505-2E9C-101B-9397-08002B2CF9AE}" pid="10" name="AvailableTranslations">
    <vt:lpwstr>13;#SL|98a412ae-eb01-49e9-ae3d-585a81724cfc;#38;#IT|0774613c-01ed-4e5d-a25d-11d2388de825;#22;#LV|46f7e311-5d9f-4663-b433-18aeccb7ace7;#41;#NL|55c6556c-b4f4-441d-9acf-c498d4f838bd;#17;#ES|e7a6b05b-ae16-40c8-add9-68b64b03aeba;#4;#FR|d2afafd3-4c81-4f60-8f52-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2015</vt:i4>
  </property>
  <property fmtid="{D5CDD505-2E9C-101B-9397-08002B2CF9AE}" pid="14" name="DocumentNumber">
    <vt:i4>5366</vt:i4>
  </property>
  <property fmtid="{D5CDD505-2E9C-101B-9397-08002B2CF9AE}" pid="15" name="DocumentVersion">
    <vt:i4>0</vt:i4>
  </property>
  <property fmtid="{D5CDD505-2E9C-101B-9397-08002B2CF9AE}" pid="16" name="DocumentType">
    <vt:lpwstr>248;#RES|9e3e62eb-6858-4bc7-8a50-3453e395fd01</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43;#SK|46d9fce0-ef79-4f71-b89b-cd6aa82426b8;#41;#NL|55c6556c-b4f4-441d-9acf-c498d4f838bd;#39;#CS|72f9705b-0217-4fd3-bea2-cbc7ed80e26e;#38;#IT|0774613c-01ed-4e5d-a25d-11d2388de825;#33;#HU|6b229040-c589-4408-b4c1-4285663d20a8;#120;#Final|ea5e6674-7b27-4bac-</vt:lpwstr>
  </property>
  <property fmtid="{D5CDD505-2E9C-101B-9397-08002B2CF9AE}" pid="30" name="AvailableTranslations_0">
    <vt:lpwstr>IT|0774613c-01ed-4e5d-a25d-11d2388de825;LV|46f7e311-5d9f-4663-b433-18aeccb7ace7;NL|55c6556c-b4f4-441d-9acf-c498d4f838bd;ES|e7a6b05b-ae16-40c8-add9-68b64b03aeba;HU|6b229040-c589-4408-b4c1-4285663d20a8;CS|72f9705b-0217-4fd3-bea2-cbc7ed80e26e;PL|1e03da61-467</vt:lpwstr>
  </property>
  <property fmtid="{D5CDD505-2E9C-101B-9397-08002B2CF9AE}" pid="31" name="VersionStatus">
    <vt:lpwstr>120;#Final|ea5e6674-7b27-4bac-b091-73adbb394efe</vt:lpwstr>
  </property>
  <property fmtid="{D5CDD505-2E9C-101B-9397-08002B2CF9AE}" pid="32" name="VersionStatus_0">
    <vt:lpwstr>Final|ea5e6674-7b27-4bac-b091-73adbb394efe</vt:lpwstr>
  </property>
  <property fmtid="{D5CDD505-2E9C-101B-9397-08002B2CF9AE}" pid="33" name="FicheNumber">
    <vt:i4>12442</vt:i4>
  </property>
  <property fmtid="{D5CDD505-2E9C-101B-9397-08002B2CF9AE}" pid="34" name="DocumentYear">
    <vt:i4>2015</vt:i4>
  </property>
  <property fmtid="{D5CDD505-2E9C-101B-9397-08002B2CF9AE}" pid="35" name="DocumentLanguage">
    <vt:lpwstr>10;#LT|a7ff5ce7-6123-4f68-865a-a57c31810414</vt:lpwstr>
  </property>
  <property fmtid="{D5CDD505-2E9C-101B-9397-08002B2CF9AE}" pid="36" name="MeetingNumber">
    <vt:i4>512</vt:i4>
  </property>
  <property fmtid="{D5CDD505-2E9C-101B-9397-08002B2CF9AE}" pid="37" name="DocumentLanguage_0">
    <vt:lpwstr>EN|f2175f21-25d7-44a3-96da-d6a61b075e1b</vt:lpwstr>
  </property>
  <property fmtid="{D5CDD505-2E9C-101B-9397-08002B2CF9AE}" pid="38" name="AdoptionDate">
    <vt:filetime>2015-12-10T12:00:00Z</vt:filetime>
  </property>
</Properties>
</file>